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E466" w14:textId="41826244" w:rsidR="00933527" w:rsidRPr="00440070" w:rsidRDefault="00933527" w:rsidP="00116998">
      <w:pPr>
        <w:spacing w:after="120" w:line="245" w:lineRule="auto"/>
        <w:rPr>
          <w:b/>
          <w:bCs/>
        </w:rPr>
      </w:pPr>
      <w:r>
        <w:rPr>
          <w:rFonts w:hint="eastAsia"/>
          <w:b/>
        </w:rPr>
        <w:t>PowerShareX PSX</w:t>
      </w:r>
      <w:r w:rsidR="004311E6">
        <w:rPr>
          <w:b/>
        </w:rPr>
        <w:t>24</w:t>
      </w:r>
      <w:r>
        <w:rPr>
          <w:rFonts w:hint="eastAsia"/>
          <w:b/>
        </w:rPr>
        <w:t xml:space="preserve">04D </w:t>
      </w:r>
      <w:r>
        <w:rPr>
          <w:rFonts w:hint="eastAsia"/>
          <w:b/>
        </w:rPr>
        <w:t>功率放大器</w:t>
      </w:r>
    </w:p>
    <w:p w14:paraId="76A16B08" w14:textId="77777777" w:rsidR="00933527" w:rsidRPr="00440070" w:rsidRDefault="00933527" w:rsidP="00116998">
      <w:pPr>
        <w:spacing w:after="120" w:line="245" w:lineRule="auto"/>
      </w:pPr>
      <w:r>
        <w:rPr>
          <w:rFonts w:hint="eastAsia"/>
        </w:rPr>
        <w:t>供建筑师和工程师阅读的产品说明</w:t>
      </w:r>
    </w:p>
    <w:p w14:paraId="299400E0" w14:textId="7C3D2995" w:rsidR="00933527" w:rsidRPr="00440070" w:rsidRDefault="00946116" w:rsidP="00116998">
      <w:pPr>
        <w:spacing w:after="120" w:line="245" w:lineRule="auto"/>
      </w:pPr>
      <w:r>
        <w:rPr>
          <w:rFonts w:hint="eastAsia"/>
        </w:rPr>
        <w:t xml:space="preserve">2026 </w:t>
      </w:r>
      <w:r>
        <w:rPr>
          <w:rFonts w:hint="eastAsia"/>
        </w:rPr>
        <w:t>年</w:t>
      </w:r>
      <w:r>
        <w:rPr>
          <w:rFonts w:hint="eastAsia"/>
        </w:rPr>
        <w:t xml:space="preserve"> 4 </w:t>
      </w:r>
      <w:r>
        <w:rPr>
          <w:rFonts w:hint="eastAsia"/>
        </w:rPr>
        <w:t>月</w:t>
      </w:r>
    </w:p>
    <w:p w14:paraId="0C7FA004" w14:textId="2589327B" w:rsidR="00D2289D" w:rsidRPr="00440070" w:rsidRDefault="00933527" w:rsidP="00116998">
      <w:pPr>
        <w:spacing w:after="120" w:line="245" w:lineRule="auto"/>
      </w:pPr>
      <w:r>
        <w:rPr>
          <w:rFonts w:hint="eastAsia"/>
        </w:rPr>
        <w:t>该功放采用</w:t>
      </w:r>
      <w:r>
        <w:rPr>
          <w:rFonts w:hint="eastAsia"/>
        </w:rPr>
        <w:t xml:space="preserve"> D </w:t>
      </w:r>
      <w:r>
        <w:rPr>
          <w:rFonts w:hint="eastAsia"/>
        </w:rPr>
        <w:t>类功放技术和以</w:t>
      </w:r>
      <w:r>
        <w:rPr>
          <w:rFonts w:hint="eastAsia"/>
        </w:rPr>
        <w:t xml:space="preserve"> 48 kHz/24 </w:t>
      </w:r>
      <w:r>
        <w:rPr>
          <w:rFonts w:hint="eastAsia"/>
        </w:rPr>
        <w:t>位运行的数字信号处理架构。该功放配备带功率因数校正</w:t>
      </w:r>
      <w:r>
        <w:rPr>
          <w:rFonts w:hint="eastAsia"/>
        </w:rPr>
        <w:t xml:space="preserve"> (PFC) </w:t>
      </w:r>
      <w:r>
        <w:rPr>
          <w:rFonts w:hint="eastAsia"/>
        </w:rPr>
        <w:t>功能的开关电源，允许使用</w:t>
      </w:r>
      <w:r>
        <w:rPr>
          <w:rFonts w:hint="eastAsia"/>
        </w:rPr>
        <w:t xml:space="preserve"> 100 V - 240 V (50/60 Hz) </w:t>
      </w:r>
      <w:r>
        <w:rPr>
          <w:rFonts w:hint="eastAsia"/>
        </w:rPr>
        <w:t>的交流电源插座正常运行。该功放具备</w:t>
      </w:r>
      <w:r>
        <w:rPr>
          <w:rFonts w:hint="eastAsia"/>
        </w:rPr>
        <w:t xml:space="preserve"> IEC 60320-C20 </w:t>
      </w:r>
      <w:r>
        <w:rPr>
          <w:rFonts w:hint="eastAsia"/>
        </w:rPr>
        <w:t>电源入口，并配有一根可拆卸的电源线。电源开关位于前面板的磁性面板后方。</w:t>
      </w:r>
      <w:r>
        <w:rPr>
          <w:rFonts w:hint="eastAsia"/>
        </w:rPr>
        <w:t xml:space="preserve"> </w:t>
      </w:r>
    </w:p>
    <w:p w14:paraId="3BDCEC47" w14:textId="2DDE43A7" w:rsidR="00D2289D" w:rsidRPr="00440070" w:rsidRDefault="00FD7B59" w:rsidP="00116998">
      <w:pPr>
        <w:spacing w:after="120" w:line="245" w:lineRule="auto"/>
      </w:pPr>
      <w:r>
        <w:rPr>
          <w:rFonts w:hint="eastAsia"/>
        </w:rPr>
        <w:t>该功放具备同步开关机静音功能，开机后静音激活并持续</w:t>
      </w:r>
      <w:r>
        <w:rPr>
          <w:rFonts w:hint="eastAsia"/>
        </w:rPr>
        <w:t xml:space="preserve"> 4 </w:t>
      </w:r>
      <w:r>
        <w:rPr>
          <w:rFonts w:hint="eastAsia"/>
        </w:rPr>
        <w:t>秒，关机或交流电源中断后</w:t>
      </w:r>
      <w:r>
        <w:rPr>
          <w:rFonts w:hint="eastAsia"/>
        </w:rPr>
        <w:t xml:space="preserve"> 500 </w:t>
      </w:r>
      <w:r>
        <w:rPr>
          <w:rFonts w:hint="eastAsia"/>
        </w:rPr>
        <w:t>毫秒内静音激活。每个通道具备直流保护功能，防止输出级的次声和极低频信号损害扬声器。每个通道具备</w:t>
      </w:r>
      <w:r>
        <w:rPr>
          <w:rFonts w:hint="eastAsia"/>
        </w:rPr>
        <w:t xml:space="preserve"> VHF </w:t>
      </w:r>
      <w:r>
        <w:rPr>
          <w:rFonts w:hint="eastAsia"/>
        </w:rPr>
        <w:t>保护功能，防止扬声器受到强烈超高频信号的损害。每个通道配备短路保护电路，以防短路或其他输出电路异常状况。每个通道设有独立的削波限幅器，在保持峰值功率完整输出的前提下，防止严重削波的波形传输至扬声器。每个通道设有长时限幅器，保护扬声器免受正弦波或反馈信号等非音乐信号的损害。</w:t>
      </w:r>
    </w:p>
    <w:p w14:paraId="197968B1" w14:textId="3265D14A" w:rsidR="00FA7B36" w:rsidRPr="00440070" w:rsidRDefault="00FA7B36" w:rsidP="00116998">
      <w:pPr>
        <w:spacing w:after="120" w:line="245" w:lineRule="auto"/>
      </w:pPr>
      <w:r>
        <w:rPr>
          <w:rFonts w:hint="eastAsia"/>
        </w:rPr>
        <w:t>该功放的通风系统采用连续变速风扇，配合微处理器温度控制，气流方向为从前至后。</w:t>
      </w:r>
    </w:p>
    <w:p w14:paraId="1C2F13B2" w14:textId="0CCCE92A" w:rsidR="0092552D" w:rsidRPr="00440070" w:rsidRDefault="00933527" w:rsidP="00116998">
      <w:pPr>
        <w:spacing w:after="120" w:line="245" w:lineRule="auto"/>
      </w:pPr>
      <w:r>
        <w:rPr>
          <w:rFonts w:hint="eastAsia"/>
        </w:rPr>
        <w:t>该功放具备四个输出通道，总额定功率为</w:t>
      </w:r>
      <w:r>
        <w:rPr>
          <w:rFonts w:hint="eastAsia"/>
        </w:rPr>
        <w:t xml:space="preserve"> </w:t>
      </w:r>
      <w:r w:rsidR="004311E6">
        <w:t>24</w:t>
      </w:r>
      <w:r>
        <w:rPr>
          <w:rFonts w:hint="eastAsia"/>
        </w:rPr>
        <w:t xml:space="preserve">00 </w:t>
      </w:r>
      <w:r>
        <w:rPr>
          <w:rFonts w:hint="eastAsia"/>
        </w:rPr>
        <w:t>瓦，并可在四个通道之间对称或非对称地分配功率（功率共享）。该功放的频率响应为</w:t>
      </w:r>
      <w:r>
        <w:rPr>
          <w:rFonts w:hint="eastAsia"/>
        </w:rPr>
        <w:t xml:space="preserve"> 20 Hz </w:t>
      </w:r>
      <w:r>
        <w:rPr>
          <w:rFonts w:hint="eastAsia"/>
        </w:rPr>
        <w:t>至</w:t>
      </w:r>
      <w:r>
        <w:rPr>
          <w:rFonts w:hint="eastAsia"/>
        </w:rPr>
        <w:t xml:space="preserve"> 20 kHz</w:t>
      </w:r>
      <w:r>
        <w:rPr>
          <w:rFonts w:hint="eastAsia"/>
        </w:rPr>
        <w:t>（±</w:t>
      </w:r>
      <w:r>
        <w:rPr>
          <w:rFonts w:hint="eastAsia"/>
        </w:rPr>
        <w:t>1 dB</w:t>
      </w:r>
      <w:r>
        <w:rPr>
          <w:rFonts w:hint="eastAsia"/>
        </w:rPr>
        <w:t>，</w:t>
      </w:r>
      <w:r>
        <w:rPr>
          <w:rFonts w:hint="eastAsia"/>
        </w:rPr>
        <w:t xml:space="preserve">8 </w:t>
      </w:r>
      <w:r>
        <w:rPr>
          <w:rFonts w:hint="eastAsia"/>
        </w:rPr>
        <w:t>欧姆负载、</w:t>
      </w:r>
      <w:r>
        <w:rPr>
          <w:rFonts w:hint="eastAsia"/>
        </w:rPr>
        <w:t xml:space="preserve">1 W </w:t>
      </w:r>
      <w:r>
        <w:rPr>
          <w:rFonts w:hint="eastAsia"/>
        </w:rPr>
        <w:t>功率条件下）。该功放在额定功率下的</w:t>
      </w:r>
      <w:r>
        <w:rPr>
          <w:rFonts w:hint="eastAsia"/>
        </w:rPr>
        <w:t xml:space="preserve"> THD+N</w:t>
      </w:r>
      <w:r>
        <w:rPr>
          <w:rFonts w:hint="eastAsia"/>
        </w:rPr>
        <w:t>（总谐波失真加噪声）典型值小于</w:t>
      </w:r>
      <w:r>
        <w:rPr>
          <w:rFonts w:hint="eastAsia"/>
        </w:rPr>
        <w:t xml:space="preserve"> 0.05%</w:t>
      </w:r>
      <w:r>
        <w:rPr>
          <w:rFonts w:hint="eastAsia"/>
        </w:rPr>
        <w:t>。输出连接通过随附的</w:t>
      </w:r>
      <w:r>
        <w:rPr>
          <w:rFonts w:hint="eastAsia"/>
        </w:rPr>
        <w:t xml:space="preserve"> 8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接口实现。通道隔离（串扰）在</w:t>
      </w:r>
      <w:r>
        <w:rPr>
          <w:rFonts w:hint="eastAsia"/>
        </w:rPr>
        <w:t xml:space="preserve"> 1 kHz </w:t>
      </w:r>
      <w:r>
        <w:rPr>
          <w:rFonts w:hint="eastAsia"/>
        </w:rPr>
        <w:t>频率下的典型值为</w:t>
      </w:r>
      <w:r>
        <w:rPr>
          <w:rFonts w:hint="eastAsia"/>
        </w:rPr>
        <w:t xml:space="preserve"> -70 dB</w:t>
      </w:r>
      <w:r>
        <w:rPr>
          <w:rFonts w:hint="eastAsia"/>
        </w:rPr>
        <w:t>。信噪比大于</w:t>
      </w:r>
      <w:r>
        <w:rPr>
          <w:rFonts w:hint="eastAsia"/>
        </w:rPr>
        <w:t xml:space="preserve"> 1</w:t>
      </w:r>
      <w:r w:rsidR="004311E6">
        <w:t>08</w:t>
      </w:r>
      <w:r>
        <w:rPr>
          <w:rFonts w:hint="eastAsia"/>
        </w:rPr>
        <w:t xml:space="preserve"> dBA</w:t>
      </w:r>
      <w:r>
        <w:rPr>
          <w:rFonts w:hint="eastAsia"/>
        </w:rPr>
        <w:t>。每个输出通道的衰减控件位于前面板的磁性面板后方。每个通道的电平也可通过远程电平控件（线性</w:t>
      </w:r>
      <w:r>
        <w:rPr>
          <w:rFonts w:hint="eastAsia"/>
        </w:rPr>
        <w:t xml:space="preserve"> 10 </w:t>
      </w:r>
      <w:r>
        <w:rPr>
          <w:rFonts w:hint="eastAsia"/>
        </w:rPr>
        <w:t>千欧电位器）进行调节，该控件通过随附的</w:t>
      </w:r>
      <w:r>
        <w:rPr>
          <w:rFonts w:hint="eastAsia"/>
        </w:rPr>
        <w:t xml:space="preserve"> 12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接口接入后面板。后面板设有一组</w:t>
      </w:r>
      <w:r>
        <w:rPr>
          <w:rFonts w:hint="eastAsia"/>
        </w:rPr>
        <w:t xml:space="preserve"> DIP </w:t>
      </w:r>
      <w:r>
        <w:rPr>
          <w:rFonts w:hint="eastAsia"/>
        </w:rPr>
        <w:t>开关，用于设置各通道的低阻抗和高阻抗输出负载配置。该功放前面板设有</w:t>
      </w:r>
      <w:r>
        <w:rPr>
          <w:rFonts w:hint="eastAsia"/>
        </w:rPr>
        <w:t xml:space="preserve"> LED </w:t>
      </w:r>
      <w:r>
        <w:rPr>
          <w:rFonts w:hint="eastAsia"/>
        </w:rPr>
        <w:t>指示灯，用于显示通道电平及系统状态。</w:t>
      </w:r>
    </w:p>
    <w:p w14:paraId="76796C26" w14:textId="771C26CC" w:rsidR="00FA7B36" w:rsidRPr="00440070" w:rsidRDefault="00933527" w:rsidP="00116998">
      <w:pPr>
        <w:spacing w:after="120" w:line="245" w:lineRule="auto"/>
      </w:pPr>
      <w:r>
        <w:rPr>
          <w:rFonts w:hint="eastAsia"/>
        </w:rPr>
        <w:t>该功放具备四个平衡线路电平输入。输入连接通过随附的</w:t>
      </w:r>
      <w:r>
        <w:rPr>
          <w:rFonts w:hint="eastAsia"/>
        </w:rPr>
        <w:t xml:space="preserve"> 12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接口实现。在</w:t>
      </w:r>
      <w:r>
        <w:rPr>
          <w:rFonts w:hint="eastAsia"/>
        </w:rPr>
        <w:t xml:space="preserve"> 26 dB </w:t>
      </w:r>
      <w:r>
        <w:rPr>
          <w:rFonts w:hint="eastAsia"/>
        </w:rPr>
        <w:t>增益、</w:t>
      </w:r>
      <w:r>
        <w:rPr>
          <w:rFonts w:hint="eastAsia"/>
        </w:rPr>
        <w:t xml:space="preserve">8 </w:t>
      </w:r>
      <w:r>
        <w:rPr>
          <w:rFonts w:hint="eastAsia"/>
        </w:rPr>
        <w:t>欧姆负载条件下，额定输入灵敏度为</w:t>
      </w:r>
      <w:r>
        <w:rPr>
          <w:rFonts w:hint="eastAsia"/>
        </w:rPr>
        <w:t xml:space="preserve"> </w:t>
      </w:r>
      <w:r w:rsidR="004311E6">
        <w:t>2.48</w:t>
      </w:r>
      <w:r>
        <w:rPr>
          <w:rFonts w:hint="eastAsia"/>
        </w:rPr>
        <w:t xml:space="preserve"> V (RMS)</w:t>
      </w:r>
      <w:r>
        <w:rPr>
          <w:rFonts w:hint="eastAsia"/>
        </w:rPr>
        <w:t>。该功放还通过一个</w:t>
      </w:r>
      <w:r>
        <w:rPr>
          <w:rFonts w:hint="eastAsia"/>
        </w:rPr>
        <w:t xml:space="preserve"> RJ-45 </w:t>
      </w:r>
      <w:r>
        <w:rPr>
          <w:rFonts w:hint="eastAsia"/>
        </w:rPr>
        <w:t>端口接收最多四路</w:t>
      </w:r>
      <w:r>
        <w:rPr>
          <w:rFonts w:hint="eastAsia"/>
        </w:rPr>
        <w:t xml:space="preserve"> Dante </w:t>
      </w:r>
      <w:r>
        <w:rPr>
          <w:rFonts w:hint="eastAsia"/>
        </w:rPr>
        <w:t>音频输入。后面板设有一组</w:t>
      </w:r>
      <w:r>
        <w:rPr>
          <w:rFonts w:hint="eastAsia"/>
        </w:rPr>
        <w:t xml:space="preserve"> DIP </w:t>
      </w:r>
      <w:r>
        <w:rPr>
          <w:rFonts w:hint="eastAsia"/>
        </w:rPr>
        <w:t>开关，用于设置全局输入增益及其他系统参数。</w:t>
      </w:r>
    </w:p>
    <w:p w14:paraId="43FD6A1A" w14:textId="273241DD" w:rsidR="00C362B3" w:rsidRPr="00440070" w:rsidRDefault="00DE104E" w:rsidP="00116998">
      <w:pPr>
        <w:spacing w:after="120" w:line="245" w:lineRule="auto"/>
      </w:pPr>
      <w:r>
        <w:rPr>
          <w:rFonts w:hint="eastAsia"/>
        </w:rPr>
        <w:t>该功放配备通用输入</w:t>
      </w:r>
      <w:r>
        <w:rPr>
          <w:rFonts w:hint="eastAsia"/>
        </w:rPr>
        <w:t xml:space="preserve"> (GPI)</w:t>
      </w:r>
      <w:r>
        <w:rPr>
          <w:rFonts w:hint="eastAsia"/>
        </w:rPr>
        <w:t>，用于根据功放的电源</w:t>
      </w:r>
      <w:r>
        <w:rPr>
          <w:rFonts w:hint="eastAsia"/>
        </w:rPr>
        <w:t>/</w:t>
      </w:r>
      <w:r>
        <w:rPr>
          <w:rFonts w:hint="eastAsia"/>
        </w:rPr>
        <w:t>待机状态实现远程开关机控制。</w:t>
      </w:r>
      <w:r>
        <w:rPr>
          <w:rFonts w:hint="eastAsia"/>
        </w:rPr>
        <w:t xml:space="preserve">GPI </w:t>
      </w:r>
      <w:r>
        <w:rPr>
          <w:rFonts w:hint="eastAsia"/>
        </w:rPr>
        <w:t>连接通过随附的</w:t>
      </w:r>
      <w:r>
        <w:rPr>
          <w:rFonts w:hint="eastAsia"/>
        </w:rPr>
        <w:t xml:space="preserve"> 4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</w:t>
      </w:r>
    </w:p>
    <w:p w14:paraId="1E1B7C1A" w14:textId="513895B9" w:rsidR="007E3CAD" w:rsidRPr="00440070" w:rsidRDefault="00C361D0" w:rsidP="00116998">
      <w:pPr>
        <w:spacing w:after="120" w:line="245" w:lineRule="auto"/>
      </w:pPr>
      <w:r>
        <w:rPr>
          <w:rFonts w:hint="eastAsia"/>
        </w:rPr>
        <w:t>该功放针对每个通道配备通用输出</w:t>
      </w:r>
      <w:r>
        <w:rPr>
          <w:rFonts w:hint="eastAsia"/>
        </w:rPr>
        <w:t xml:space="preserve"> (GPO) </w:t>
      </w:r>
      <w:r>
        <w:rPr>
          <w:rFonts w:hint="eastAsia"/>
        </w:rPr>
        <w:t>，以指示故障、不安全的工作条件或任何阻止正常输出通道工作的故障。</w:t>
      </w:r>
      <w:r>
        <w:rPr>
          <w:rFonts w:hint="eastAsia"/>
        </w:rPr>
        <w:t xml:space="preserve">GPO </w:t>
      </w:r>
      <w:r>
        <w:rPr>
          <w:rFonts w:hint="eastAsia"/>
        </w:rPr>
        <w:t>连接通过随附的</w:t>
      </w:r>
      <w:r>
        <w:rPr>
          <w:rFonts w:hint="eastAsia"/>
        </w:rPr>
        <w:t xml:space="preserve"> 12 </w:t>
      </w:r>
      <w:r>
        <w:rPr>
          <w:rFonts w:hint="eastAsia"/>
        </w:rPr>
        <w:t>针</w:t>
      </w:r>
      <w:r>
        <w:rPr>
          <w:rFonts w:hint="eastAsia"/>
        </w:rPr>
        <w:t xml:space="preserve"> Euroblock </w:t>
      </w:r>
      <w:r>
        <w:rPr>
          <w:rFonts w:hint="eastAsia"/>
        </w:rPr>
        <w:t>接口实现。</w:t>
      </w:r>
    </w:p>
    <w:p w14:paraId="37198055" w14:textId="6B490796" w:rsidR="00E426E7" w:rsidRPr="00440070" w:rsidRDefault="006264C8" w:rsidP="00116998">
      <w:pPr>
        <w:spacing w:after="120" w:line="245" w:lineRule="auto"/>
      </w:pPr>
      <w:r>
        <w:rPr>
          <w:rFonts w:hint="eastAsia"/>
        </w:rPr>
        <w:t>该功放设有一个</w:t>
      </w:r>
      <w:r>
        <w:rPr>
          <w:rFonts w:hint="eastAsia"/>
        </w:rPr>
        <w:t xml:space="preserve"> RJ-45 </w:t>
      </w:r>
      <w:r>
        <w:rPr>
          <w:rFonts w:hint="eastAsia"/>
        </w:rPr>
        <w:t>端口，用于通过以太网连接至计算机，并通过</w:t>
      </w:r>
      <w:r>
        <w:rPr>
          <w:rFonts w:hint="eastAsia"/>
        </w:rPr>
        <w:t xml:space="preserve"> ControlSpace Designer </w:t>
      </w:r>
      <w:r>
        <w:rPr>
          <w:rFonts w:hint="eastAsia"/>
        </w:rPr>
        <w:t>软件进行配置。</w:t>
      </w:r>
    </w:p>
    <w:p w14:paraId="0B8DCF04" w14:textId="67031829" w:rsidR="00D302B2" w:rsidRPr="00440070" w:rsidRDefault="00161127" w:rsidP="00116998">
      <w:pPr>
        <w:spacing w:after="120" w:line="245" w:lineRule="auto"/>
      </w:pPr>
      <w:r>
        <w:rPr>
          <w:rFonts w:hint="eastAsia"/>
        </w:rPr>
        <w:t>该功放符合</w:t>
      </w:r>
      <w:r>
        <w:rPr>
          <w:rFonts w:hint="eastAsia"/>
        </w:rPr>
        <w:t xml:space="preserve"> EN 54-16 </w:t>
      </w:r>
      <w:r>
        <w:rPr>
          <w:rFonts w:hint="eastAsia"/>
        </w:rPr>
        <w:t>标准，可在</w:t>
      </w:r>
      <w:r>
        <w:rPr>
          <w:rFonts w:hint="eastAsia"/>
        </w:rPr>
        <w:t xml:space="preserve"> VA/PAVA </w:t>
      </w:r>
      <w:r>
        <w:rPr>
          <w:rFonts w:hint="eastAsia"/>
        </w:rPr>
        <w:t>系统中，与其他符合要求的系统组件配合使用。</w:t>
      </w:r>
    </w:p>
    <w:p w14:paraId="7E8603D0" w14:textId="464EA3BC" w:rsidR="00933527" w:rsidRPr="00440070" w:rsidRDefault="00933527" w:rsidP="00116998">
      <w:pPr>
        <w:spacing w:after="120" w:line="245" w:lineRule="auto"/>
      </w:pPr>
      <w:r>
        <w:rPr>
          <w:rFonts w:hint="eastAsia"/>
        </w:rPr>
        <w:t>该功放的尺寸符合</w:t>
      </w:r>
      <w:r>
        <w:rPr>
          <w:rFonts w:hint="eastAsia"/>
        </w:rPr>
        <w:t xml:space="preserve"> 19 </w:t>
      </w:r>
      <w:r>
        <w:rPr>
          <w:rFonts w:hint="eastAsia"/>
        </w:rPr>
        <w:t>英寸（</w:t>
      </w:r>
      <w:r>
        <w:rPr>
          <w:rFonts w:hint="eastAsia"/>
        </w:rPr>
        <w:t xml:space="preserve">483 </w:t>
      </w:r>
      <w:r>
        <w:rPr>
          <w:rFonts w:hint="eastAsia"/>
        </w:rPr>
        <w:t>毫米）</w:t>
      </w:r>
      <w:r>
        <w:rPr>
          <w:rFonts w:hint="eastAsia"/>
        </w:rPr>
        <w:t xml:space="preserve">EIA </w:t>
      </w:r>
      <w:r>
        <w:rPr>
          <w:rFonts w:hint="eastAsia"/>
        </w:rPr>
        <w:t>标准机柜安装要求。该功放的高度为</w:t>
      </w:r>
      <w:r>
        <w:rPr>
          <w:rFonts w:hint="eastAsia"/>
        </w:rPr>
        <w:t xml:space="preserve"> 45 </w:t>
      </w:r>
      <w:r>
        <w:rPr>
          <w:rFonts w:hint="eastAsia"/>
        </w:rPr>
        <w:t>毫米（</w:t>
      </w:r>
      <w:r>
        <w:rPr>
          <w:rFonts w:hint="eastAsia"/>
        </w:rPr>
        <w:t xml:space="preserve">1.8 </w:t>
      </w:r>
      <w:r>
        <w:rPr>
          <w:rFonts w:hint="eastAsia"/>
        </w:rPr>
        <w:t>英寸）（</w:t>
      </w:r>
      <w:r>
        <w:rPr>
          <w:rFonts w:hint="eastAsia"/>
        </w:rPr>
        <w:t>1RU</w:t>
      </w:r>
      <w:r>
        <w:rPr>
          <w:rFonts w:hint="eastAsia"/>
        </w:rPr>
        <w:t>），宽度为</w:t>
      </w:r>
      <w:r>
        <w:rPr>
          <w:rFonts w:hint="eastAsia"/>
        </w:rPr>
        <w:t xml:space="preserve"> 483 </w:t>
      </w:r>
      <w:r>
        <w:rPr>
          <w:rFonts w:hint="eastAsia"/>
        </w:rPr>
        <w:t>毫米（</w:t>
      </w:r>
      <w:r>
        <w:rPr>
          <w:rFonts w:hint="eastAsia"/>
        </w:rPr>
        <w:t xml:space="preserve">19.0 </w:t>
      </w:r>
      <w:r>
        <w:rPr>
          <w:rFonts w:hint="eastAsia"/>
        </w:rPr>
        <w:t>英寸），深度为</w:t>
      </w:r>
      <w:r>
        <w:rPr>
          <w:rFonts w:hint="eastAsia"/>
        </w:rPr>
        <w:t xml:space="preserve"> 358 </w:t>
      </w:r>
      <w:r>
        <w:rPr>
          <w:rFonts w:hint="eastAsia"/>
        </w:rPr>
        <w:t>毫米（</w:t>
      </w:r>
      <w:r>
        <w:rPr>
          <w:rFonts w:hint="eastAsia"/>
        </w:rPr>
        <w:t xml:space="preserve">14.1 </w:t>
      </w:r>
      <w:r>
        <w:rPr>
          <w:rFonts w:hint="eastAsia"/>
        </w:rPr>
        <w:t>英寸）。该功放的重量为</w:t>
      </w:r>
      <w:r>
        <w:rPr>
          <w:rFonts w:hint="eastAsia"/>
        </w:rPr>
        <w:t xml:space="preserve"> 7.0 </w:t>
      </w:r>
      <w:r>
        <w:rPr>
          <w:rFonts w:hint="eastAsia"/>
        </w:rPr>
        <w:t>千克（</w:t>
      </w:r>
      <w:r>
        <w:rPr>
          <w:rFonts w:hint="eastAsia"/>
        </w:rPr>
        <w:t xml:space="preserve">15.4 </w:t>
      </w:r>
      <w:r>
        <w:rPr>
          <w:rFonts w:hint="eastAsia"/>
        </w:rPr>
        <w:t>磅）。</w:t>
      </w:r>
    </w:p>
    <w:p w14:paraId="4459AE4A" w14:textId="128C2004" w:rsidR="0093608E" w:rsidRPr="00B510A9" w:rsidRDefault="00933527" w:rsidP="00116998">
      <w:pPr>
        <w:spacing w:after="120" w:line="245" w:lineRule="auto"/>
      </w:pPr>
      <w:r>
        <w:rPr>
          <w:rFonts w:hint="eastAsia"/>
        </w:rPr>
        <w:t>该功放型号为</w:t>
      </w:r>
      <w:r>
        <w:rPr>
          <w:rFonts w:hint="eastAsia"/>
        </w:rPr>
        <w:t xml:space="preserve"> PowerShareX PSX</w:t>
      </w:r>
      <w:r w:rsidR="004311E6">
        <w:t>24</w:t>
      </w:r>
      <w:r>
        <w:rPr>
          <w:rFonts w:hint="eastAsia"/>
        </w:rPr>
        <w:t xml:space="preserve">04D </w:t>
      </w:r>
      <w:r>
        <w:rPr>
          <w:rFonts w:hint="eastAsia"/>
        </w:rPr>
        <w:t>功率放大器。</w:t>
      </w:r>
    </w:p>
    <w:sectPr w:rsidR="0093608E" w:rsidRPr="00B5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018" w14:textId="77777777" w:rsidR="00F44B83" w:rsidRDefault="00F44B83" w:rsidP="00583198">
      <w:pPr>
        <w:spacing w:after="0" w:line="240" w:lineRule="auto"/>
      </w:pPr>
      <w:r>
        <w:separator/>
      </w:r>
    </w:p>
  </w:endnote>
  <w:endnote w:type="continuationSeparator" w:id="0">
    <w:p w14:paraId="44A50991" w14:textId="77777777" w:rsidR="00F44B83" w:rsidRDefault="00F44B83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C19E" w14:textId="77777777" w:rsidR="00F44B83" w:rsidRDefault="00F44B83" w:rsidP="00583198">
      <w:pPr>
        <w:spacing w:after="0" w:line="240" w:lineRule="auto"/>
      </w:pPr>
      <w:r>
        <w:separator/>
      </w:r>
    </w:p>
  </w:footnote>
  <w:footnote w:type="continuationSeparator" w:id="0">
    <w:p w14:paraId="7BE5AE0A" w14:textId="77777777" w:rsidR="00F44B83" w:rsidRDefault="00F44B83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7"/>
    <w:rsid w:val="0000345C"/>
    <w:rsid w:val="00036553"/>
    <w:rsid w:val="00094510"/>
    <w:rsid w:val="00116998"/>
    <w:rsid w:val="001210B2"/>
    <w:rsid w:val="00161127"/>
    <w:rsid w:val="00170E02"/>
    <w:rsid w:val="00174F4E"/>
    <w:rsid w:val="001B5AA7"/>
    <w:rsid w:val="001B5BC1"/>
    <w:rsid w:val="001C47E5"/>
    <w:rsid w:val="001C74AB"/>
    <w:rsid w:val="001F32A0"/>
    <w:rsid w:val="00251C61"/>
    <w:rsid w:val="00266A96"/>
    <w:rsid w:val="002C28C7"/>
    <w:rsid w:val="002C2B67"/>
    <w:rsid w:val="00325C5E"/>
    <w:rsid w:val="00386840"/>
    <w:rsid w:val="003B0DD7"/>
    <w:rsid w:val="003F1D1C"/>
    <w:rsid w:val="004178A4"/>
    <w:rsid w:val="00425DBA"/>
    <w:rsid w:val="004311E6"/>
    <w:rsid w:val="00440070"/>
    <w:rsid w:val="00460C84"/>
    <w:rsid w:val="00463FD8"/>
    <w:rsid w:val="004655EC"/>
    <w:rsid w:val="004944FC"/>
    <w:rsid w:val="004A6E06"/>
    <w:rsid w:val="005024E7"/>
    <w:rsid w:val="0052043C"/>
    <w:rsid w:val="00536FCA"/>
    <w:rsid w:val="00540A2E"/>
    <w:rsid w:val="00577C91"/>
    <w:rsid w:val="00583198"/>
    <w:rsid w:val="005855D7"/>
    <w:rsid w:val="005951D8"/>
    <w:rsid w:val="005B0213"/>
    <w:rsid w:val="005B2F1C"/>
    <w:rsid w:val="005B5873"/>
    <w:rsid w:val="005C429B"/>
    <w:rsid w:val="005E4E04"/>
    <w:rsid w:val="00614DEA"/>
    <w:rsid w:val="006264C8"/>
    <w:rsid w:val="006276EC"/>
    <w:rsid w:val="00637701"/>
    <w:rsid w:val="00663E22"/>
    <w:rsid w:val="006771AC"/>
    <w:rsid w:val="00686347"/>
    <w:rsid w:val="006A4ED2"/>
    <w:rsid w:val="006B6E67"/>
    <w:rsid w:val="006E59DE"/>
    <w:rsid w:val="00761A02"/>
    <w:rsid w:val="00765528"/>
    <w:rsid w:val="00780210"/>
    <w:rsid w:val="00785D9D"/>
    <w:rsid w:val="007D04F7"/>
    <w:rsid w:val="007E3CAD"/>
    <w:rsid w:val="00811B2F"/>
    <w:rsid w:val="00834C2C"/>
    <w:rsid w:val="00866758"/>
    <w:rsid w:val="00872018"/>
    <w:rsid w:val="008A75E2"/>
    <w:rsid w:val="008B5506"/>
    <w:rsid w:val="008C5000"/>
    <w:rsid w:val="008D0836"/>
    <w:rsid w:val="008D22F8"/>
    <w:rsid w:val="008E44C9"/>
    <w:rsid w:val="00901531"/>
    <w:rsid w:val="009212FF"/>
    <w:rsid w:val="0092552D"/>
    <w:rsid w:val="00925BD1"/>
    <w:rsid w:val="00933527"/>
    <w:rsid w:val="0093608E"/>
    <w:rsid w:val="00946116"/>
    <w:rsid w:val="00955721"/>
    <w:rsid w:val="00992D38"/>
    <w:rsid w:val="009B16B2"/>
    <w:rsid w:val="00A10ECD"/>
    <w:rsid w:val="00A1795D"/>
    <w:rsid w:val="00AB1D40"/>
    <w:rsid w:val="00AB5905"/>
    <w:rsid w:val="00AB7531"/>
    <w:rsid w:val="00AD14DB"/>
    <w:rsid w:val="00AD4AA6"/>
    <w:rsid w:val="00B13352"/>
    <w:rsid w:val="00B2320A"/>
    <w:rsid w:val="00B30737"/>
    <w:rsid w:val="00B3362E"/>
    <w:rsid w:val="00B510A9"/>
    <w:rsid w:val="00B90B55"/>
    <w:rsid w:val="00BE0325"/>
    <w:rsid w:val="00BE0617"/>
    <w:rsid w:val="00BE3DCA"/>
    <w:rsid w:val="00BE6AAD"/>
    <w:rsid w:val="00C06216"/>
    <w:rsid w:val="00C13DCB"/>
    <w:rsid w:val="00C16EC7"/>
    <w:rsid w:val="00C361D0"/>
    <w:rsid w:val="00C362B3"/>
    <w:rsid w:val="00C459A8"/>
    <w:rsid w:val="00C739B9"/>
    <w:rsid w:val="00C76D41"/>
    <w:rsid w:val="00CD2587"/>
    <w:rsid w:val="00D2289D"/>
    <w:rsid w:val="00D302B2"/>
    <w:rsid w:val="00D31954"/>
    <w:rsid w:val="00D43929"/>
    <w:rsid w:val="00D548F7"/>
    <w:rsid w:val="00D647BE"/>
    <w:rsid w:val="00D6694C"/>
    <w:rsid w:val="00DB0B7A"/>
    <w:rsid w:val="00DE104E"/>
    <w:rsid w:val="00DF6B70"/>
    <w:rsid w:val="00E05B75"/>
    <w:rsid w:val="00E16218"/>
    <w:rsid w:val="00E22972"/>
    <w:rsid w:val="00E426E7"/>
    <w:rsid w:val="00E52D94"/>
    <w:rsid w:val="00EB3B78"/>
    <w:rsid w:val="00F440CC"/>
    <w:rsid w:val="00F44B83"/>
    <w:rsid w:val="00F5294E"/>
    <w:rsid w:val="00F56010"/>
    <w:rsid w:val="00F636D9"/>
    <w:rsid w:val="00F65B6A"/>
    <w:rsid w:val="00F7027B"/>
    <w:rsid w:val="00F87125"/>
    <w:rsid w:val="00FA7B36"/>
    <w:rsid w:val="00FC0C48"/>
    <w:rsid w:val="00FD7B59"/>
    <w:rsid w:val="00FE794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52C9"/>
  <w15:chartTrackingRefBased/>
  <w15:docId w15:val="{9ABBB30E-081E-40FC-9809-4ABA114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C7"/>
    <w:rPr>
      <w:rFonts w:ascii="Arial" w:eastAsia="SimSun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eastAsia="SimSun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eastAsia="SimSun" w:hAnsi="Montserrat"/>
      <w:kern w:val="0"/>
      <w14:ligatures w14:val="none"/>
    </w:rPr>
  </w:style>
  <w:style w:type="paragraph" w:styleId="Revision">
    <w:name w:val="Revision"/>
    <w:hidden/>
    <w:uiPriority w:val="99"/>
    <w:semiHidden/>
    <w:rsid w:val="00D31954"/>
    <w:pPr>
      <w:spacing w:after="0" w:line="240" w:lineRule="auto"/>
    </w:pPr>
    <w:rPr>
      <w:rFonts w:ascii="Arial" w:eastAsia="SimSun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SimSun"/>
        <a:cs typeface=""/>
      </a:majorFont>
      <a:minorFont>
        <a:latin typeface="Montserra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2</TotalTime>
  <Pages>1</Pages>
  <Words>661</Words>
  <Characters>800</Characters>
  <DocSecurity>0</DocSecurity>
  <Lines>21</Lines>
  <Paragraphs>14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2026-03-31T13:29:00Z</dcterms:created>
  <dcterms:modified xsi:type="dcterms:W3CDTF">2026-04-30T14:33:00Z</dcterms:modified>
</cp:coreProperties>
</file>