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AKTUALIZACJA: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20 luty 2020 r. — modele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 z nowymi kodami SKU [uzupełnienie informacji dot.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, która nadal obowiązuje]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eop"/>
          <w:sz w:val="22"/>
          <w:szCs w:val="22"/>
          <w:rFonts w:ascii="Calibri" w:hAnsi="Calibri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Utworzono cztery nowe kody SKU dla głośników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W  produktach oznaczonych tymi kodami zastąpiono tworzywo sztuczne PC/ABS, z którego wykonano kotwę i płytę rezonansową, tworzywem PC-PBT i odlewanym aluminium, które są odporniejsze na działanie oleju spożywczego.</w:t>
      </w:r>
      <w:r>
        <w:rPr>
          <w:sz w:val="22"/>
          <w:szCs w:val="22"/>
          <w:rStyle w:val="normaltextrun"/>
          <w:rFonts w:ascii="Calibri" w:hAnsi="Calibri"/>
        </w:rPr>
        <w:t xml:space="preserve">  </w:t>
      </w:r>
      <w:r>
        <w:rPr>
          <w:sz w:val="22"/>
          <w:szCs w:val="22"/>
          <w:rStyle w:val="normaltextrun"/>
          <w:rFonts w:ascii="Calibri" w:hAnsi="Calibri"/>
        </w:rPr>
        <w:t xml:space="preserve">Linki zabezpieczające, których stosowanie jako dodatkowych mechanizmów ochronnych zalecamy w przypadku każdego montażu, 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nie są już wymagane w kontekście produktów oznaczonych tymi nowymi kodami SKU, chyba że lokalne przepisy stanowią inaczej</w:t>
      </w:r>
      <w:r>
        <w:rPr>
          <w:sz w:val="22"/>
          <w:szCs w:val="22"/>
          <w:rStyle w:val="normaltextrun"/>
          <w:rFonts w:ascii="Calibri" w:hAnsi="Calibri"/>
        </w:rPr>
        <w:t xml:space="preserve">. Z tego względu linki nie są dostarczane w zestawie z produktami oznaczonymi tymi nowymi kodami SKU.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Niemniej jednak montaż linek zabezpieczających jest wciąż wymagany w przypadku modeli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 oznaczonymi starszymi kodami SKU (oraz wszystkich modeli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DS) montowanych w komercyjnych punktach przygotowania posiłków.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4F925232-E093-47DE-A1EA-DF2CA33EACE1}"/>
</file>

<file path=customXml/itemProps2.xml><?xml version="1.0" encoding="utf-8"?>
<ds:datastoreItem xmlns:ds="http://schemas.openxmlformats.org/officeDocument/2006/customXml" ds:itemID="{861AD990-28BB-4604-A15D-5D78CBB20230}"/>
</file>

<file path=customXml/itemProps3.xml><?xml version="1.0" encoding="utf-8"?>
<ds:datastoreItem xmlns:ds="http://schemas.openxmlformats.org/officeDocument/2006/customXml" ds:itemID="{509CFB26-F49D-4965-9849-CE1054F2A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