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D0B7" w14:textId="0245FFA6" w:rsidR="00B44CA6" w:rsidRPr="00B44CA6" w:rsidRDefault="00B44CA6" w:rsidP="00B44CA6">
      <w:pPr>
        <w:rPr>
          <w:b/>
          <w:bCs/>
        </w:rPr>
      </w:pPr>
      <w:proofErr w:type="spellStart"/>
      <w:r w:rsidRPr="00B44CA6">
        <w:rPr>
          <w:b/>
          <w:bCs/>
        </w:rPr>
        <w:t>Vielseitiger</w:t>
      </w:r>
      <w:proofErr w:type="spellEnd"/>
      <w:r w:rsidRPr="00B44CA6">
        <w:rPr>
          <w:b/>
          <w:bCs/>
        </w:rPr>
        <w:t xml:space="preserve"> PowerSpace P4300+ </w:t>
      </w:r>
      <w:proofErr w:type="spellStart"/>
      <w:r w:rsidRPr="00B44CA6">
        <w:rPr>
          <w:b/>
          <w:bCs/>
        </w:rPr>
        <w:t>Leistungsverstärker</w:t>
      </w:r>
      <w:proofErr w:type="spellEnd"/>
    </w:p>
    <w:p w14:paraId="74A0F24B" w14:textId="77777777" w:rsidR="00B44CA6" w:rsidRPr="00B44CA6" w:rsidRDefault="00B44CA6" w:rsidP="00B44CA6">
      <w:pPr>
        <w:rPr>
          <w:sz w:val="20"/>
          <w:szCs w:val="20"/>
        </w:rPr>
      </w:pPr>
      <w:r w:rsidRPr="00B44CA6">
        <w:rPr>
          <w:sz w:val="20"/>
          <w:szCs w:val="20"/>
        </w:rPr>
        <w:t>TECHNISCHE SPEZIFIKATIONEN FÜR ARCHITEKTEN UND INGENIEURE</w:t>
      </w:r>
    </w:p>
    <w:p w14:paraId="5D7C28B9" w14:textId="7D3EC8BC" w:rsidR="00B44CA6" w:rsidRPr="00B44CA6" w:rsidRDefault="00B44CA6" w:rsidP="00B44CA6">
      <w:pPr>
        <w:rPr>
          <w:sz w:val="20"/>
          <w:szCs w:val="20"/>
        </w:rPr>
      </w:pPr>
      <w:r>
        <w:rPr>
          <w:sz w:val="20"/>
          <w:szCs w:val="20"/>
        </w:rPr>
        <w:t>JULI 2023</w:t>
      </w:r>
    </w:p>
    <w:p w14:paraId="65E9754E" w14:textId="487FDDDB" w:rsidR="00B44CA6" w:rsidRDefault="00B44CA6" w:rsidP="00B44CA6">
      <w:r>
        <w:t xml:space="preserve">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nutzt</w:t>
      </w:r>
      <w:proofErr w:type="spellEnd"/>
      <w:r>
        <w:t xml:space="preserve"> die Class-D-</w:t>
      </w:r>
      <w:proofErr w:type="spellStart"/>
      <w:r>
        <w:t>Verstärkungstechnologie</w:t>
      </w:r>
      <w:proofErr w:type="spellEnd"/>
      <w:r>
        <w:t xml:space="preserve"> 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Signalverarbeitung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4</w:t>
      </w:r>
      <w:r w:rsidR="005D4955">
        <w:t>8 </w:t>
      </w:r>
      <w:r>
        <w:t>kHz / 2</w:t>
      </w:r>
      <w:r w:rsidR="005D4955">
        <w:t>4 </w:t>
      </w:r>
      <w:r>
        <w:t xml:space="preserve">Bit.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Weitbereichsschaltnetzteil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, das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Netzanschlüssen</w:t>
      </w:r>
      <w:proofErr w:type="spellEnd"/>
      <w:r>
        <w:t xml:space="preserve"> von 100–26</w:t>
      </w:r>
      <w:r w:rsidR="005D4955">
        <w:t>4 </w:t>
      </w:r>
      <w:r>
        <w:t xml:space="preserve">V </w:t>
      </w:r>
      <w:proofErr w:type="spellStart"/>
      <w:r>
        <w:t>bei</w:t>
      </w:r>
      <w:proofErr w:type="spellEnd"/>
      <w:r>
        <w:t xml:space="preserve"> 50/6</w:t>
      </w:r>
      <w:r w:rsidR="005D4955">
        <w:t>0 </w:t>
      </w:r>
      <w:r>
        <w:t xml:space="preserve">Hz </w:t>
      </w:r>
      <w:proofErr w:type="spellStart"/>
      <w:r>
        <w:t>ermöglicht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Kaltgerätestecker</w:t>
      </w:r>
      <w:proofErr w:type="spellEnd"/>
      <w:r>
        <w:t xml:space="preserve"> IEC 320-C14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abnehmbares</w:t>
      </w:r>
      <w:proofErr w:type="spellEnd"/>
      <w:r>
        <w:t xml:space="preserve"> </w:t>
      </w:r>
      <w:proofErr w:type="spellStart"/>
      <w:r>
        <w:t>Netzkabel</w:t>
      </w:r>
      <w:proofErr w:type="spellEnd"/>
      <w:r>
        <w:t xml:space="preserve">. Auf der </w:t>
      </w:r>
      <w:proofErr w:type="spellStart"/>
      <w:r>
        <w:t>Frontseite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Ein-/Aus-</w:t>
      </w:r>
      <w:proofErr w:type="spellStart"/>
      <w:r>
        <w:t>Schalter</w:t>
      </w:r>
      <w:proofErr w:type="spellEnd"/>
      <w:r>
        <w:t xml:space="preserve">. Das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Schutz </w:t>
      </w:r>
      <w:proofErr w:type="spellStart"/>
      <w:r>
        <w:t>vor</w:t>
      </w:r>
      <w:proofErr w:type="spellEnd"/>
      <w:r>
        <w:t xml:space="preserve"> </w:t>
      </w:r>
      <w:proofErr w:type="spellStart"/>
      <w:r>
        <w:t>Kurzschlüssen</w:t>
      </w:r>
      <w:proofErr w:type="spellEnd"/>
      <w:r>
        <w:t xml:space="preserve"> und </w:t>
      </w:r>
      <w:proofErr w:type="spellStart"/>
      <w:r>
        <w:t>allgemeiner</w:t>
      </w:r>
      <w:proofErr w:type="spellEnd"/>
      <w:r>
        <w:t xml:space="preserve"> </w:t>
      </w:r>
      <w:proofErr w:type="spellStart"/>
      <w:r>
        <w:t>Überhitzung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Abmessung</w:t>
      </w:r>
      <w:proofErr w:type="spellEnd"/>
      <w:r>
        <w:t xml:space="preserve"> von </w:t>
      </w:r>
      <w:r w:rsidR="005D4955">
        <w:t>1 </w:t>
      </w:r>
      <w:r>
        <w:t xml:space="preserve">HE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Leistungsverstärker</w:t>
      </w:r>
      <w:proofErr w:type="spellEnd"/>
      <w:r>
        <w:t xml:space="preserve"> für die Rack-Montage </w:t>
      </w:r>
      <w:proofErr w:type="spellStart"/>
      <w:r>
        <w:t>geeignet</w:t>
      </w:r>
      <w:proofErr w:type="spellEnd"/>
      <w:r>
        <w:t xml:space="preserve">. Das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Lüftern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variabler</w:t>
      </w:r>
      <w:proofErr w:type="spellEnd"/>
      <w:r>
        <w:t xml:space="preserve"> </w:t>
      </w:r>
      <w:proofErr w:type="spellStart"/>
      <w:r>
        <w:t>Drehzahl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, die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Luftstrom</w:t>
      </w:r>
      <w:proofErr w:type="spellEnd"/>
      <w:r>
        <w:t xml:space="preserve"> von </w:t>
      </w:r>
      <w:proofErr w:type="spellStart"/>
      <w:r>
        <w:t>vorn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erzeugen</w:t>
      </w:r>
      <w:proofErr w:type="spellEnd"/>
      <w:r>
        <w:t xml:space="preserve">.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Ausgangskanal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Lautstärkeregler</w:t>
      </w:r>
      <w:proofErr w:type="spellEnd"/>
      <w:r>
        <w:t xml:space="preserve"> an der </w:t>
      </w:r>
      <w:proofErr w:type="spellStart"/>
      <w:r>
        <w:t>Gehäuserückseite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hat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Ausgangskanäle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30</w:t>
      </w:r>
      <w:r w:rsidR="005D4955">
        <w:t>0 </w:t>
      </w:r>
      <w:r>
        <w:t xml:space="preserve">W und </w:t>
      </w:r>
      <w:proofErr w:type="spellStart"/>
      <w:r>
        <w:t>Frequenzgängen</w:t>
      </w:r>
      <w:proofErr w:type="spellEnd"/>
      <w:r>
        <w:t xml:space="preserve"> von 2</w:t>
      </w:r>
      <w:r w:rsidR="005D4955">
        <w:t>0 </w:t>
      </w:r>
      <w:r>
        <w:t>Hz bis 2</w:t>
      </w:r>
      <w:r w:rsidR="005D4955">
        <w:t>0 </w:t>
      </w:r>
      <w:r>
        <w:t>kHz (</w:t>
      </w:r>
      <w:r>
        <w:t>±</w:t>
      </w:r>
      <w:r w:rsidR="005D4955">
        <w:t>1 </w:t>
      </w:r>
      <w:r>
        <w:t xml:space="preserve">dB) </w:t>
      </w:r>
      <w:proofErr w:type="spellStart"/>
      <w:r>
        <w:t>bei</w:t>
      </w:r>
      <w:proofErr w:type="spellEnd"/>
      <w:r>
        <w:t xml:space="preserve"> </w:t>
      </w:r>
      <w:proofErr w:type="spellStart"/>
      <w:r>
        <w:t>Lautsprechersystemen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niederohmiger</w:t>
      </w:r>
      <w:proofErr w:type="spellEnd"/>
      <w:r>
        <w:t xml:space="preserve"> </w:t>
      </w:r>
      <w:proofErr w:type="spellStart"/>
      <w:r>
        <w:t>Impedanz</w:t>
      </w:r>
      <w:proofErr w:type="spellEnd"/>
      <w:r>
        <w:t xml:space="preserve"> (4–</w:t>
      </w:r>
      <w:r w:rsidR="005D4955">
        <w:t>8 </w:t>
      </w:r>
      <w:r>
        <w:rPr>
          <w:rFonts w:hint="cs"/>
        </w:rPr>
        <w:t>Ω</w:t>
      </w:r>
      <w:r>
        <w:t>). Bei 7</w:t>
      </w:r>
      <w:r w:rsidR="005D4955">
        <w:t>0 </w:t>
      </w:r>
      <w:r>
        <w:t>V/10</w:t>
      </w:r>
      <w:r w:rsidR="005D4955">
        <w:t>0 </w:t>
      </w:r>
      <w:r>
        <w:t>V-</w:t>
      </w:r>
      <w:proofErr w:type="spellStart"/>
      <w:r>
        <w:t>Audiosystemen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der </w:t>
      </w:r>
      <w:proofErr w:type="spellStart"/>
      <w:r>
        <w:t>Frequenzgang</w:t>
      </w:r>
      <w:proofErr w:type="spellEnd"/>
      <w:r>
        <w:t xml:space="preserve"> 5</w:t>
      </w:r>
      <w:r w:rsidR="005D4955">
        <w:t>0 </w:t>
      </w:r>
      <w:r>
        <w:t>Hz bis 2</w:t>
      </w:r>
      <w:r w:rsidR="005D4955">
        <w:t>0 </w:t>
      </w:r>
      <w:r>
        <w:t xml:space="preserve">kHz. Der </w:t>
      </w:r>
      <w:proofErr w:type="spellStart"/>
      <w:r>
        <w:t>Klirrfaktor</w:t>
      </w:r>
      <w:proofErr w:type="spellEnd"/>
      <w:r>
        <w:t xml:space="preserve"> (THD+N) </w:t>
      </w:r>
      <w:proofErr w:type="spellStart"/>
      <w:r>
        <w:t>bei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0,0</w:t>
      </w:r>
      <w:r w:rsidR="005D4955">
        <w:t>4 </w:t>
      </w:r>
      <w:r>
        <w:t xml:space="preserve">%. Der </w:t>
      </w:r>
      <w:proofErr w:type="spellStart"/>
      <w:r>
        <w:t>Lautsprecheranschluss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8-poligen </w:t>
      </w:r>
      <w:proofErr w:type="spellStart"/>
      <w:r>
        <w:t>Anschlussblock</w:t>
      </w:r>
      <w:proofErr w:type="spellEnd"/>
      <w:r>
        <w:t>.</w:t>
      </w:r>
    </w:p>
    <w:p w14:paraId="4723D599" w14:textId="4B41A6C3" w:rsidR="00B44CA6" w:rsidRDefault="00B44CA6" w:rsidP="00B44CA6">
      <w:r>
        <w:t xml:space="preserve">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übertrifft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</w:t>
      </w:r>
      <w:proofErr w:type="spellStart"/>
      <w:r>
        <w:t>Kanaltrennung</w:t>
      </w:r>
      <w:proofErr w:type="spellEnd"/>
      <w:r>
        <w:t xml:space="preserve"> (</w:t>
      </w:r>
      <w:proofErr w:type="spellStart"/>
      <w:r>
        <w:t>Übersprechen</w:t>
      </w:r>
      <w:proofErr w:type="spellEnd"/>
      <w:r>
        <w:t xml:space="preserve">) </w:t>
      </w:r>
      <w:proofErr w:type="spellStart"/>
      <w:r>
        <w:t>größer</w:t>
      </w:r>
      <w:proofErr w:type="spellEnd"/>
      <w:r>
        <w:t xml:space="preserve"> 8</w:t>
      </w:r>
      <w:r w:rsidR="005D4955">
        <w:t>0 </w:t>
      </w:r>
      <w:r>
        <w:t xml:space="preserve">dB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5D4955">
        <w:t>1 </w:t>
      </w:r>
      <w:r>
        <w:t xml:space="preserve">kHz.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Line-</w:t>
      </w:r>
      <w:proofErr w:type="spellStart"/>
      <w:r>
        <w:t>Pegel</w:t>
      </w:r>
      <w:proofErr w:type="spellEnd"/>
      <w:r>
        <w:t>-</w:t>
      </w:r>
      <w:proofErr w:type="spellStart"/>
      <w:r>
        <w:t>Eingängen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Die </w:t>
      </w:r>
      <w:proofErr w:type="spellStart"/>
      <w:r>
        <w:t>nominelle</w:t>
      </w:r>
      <w:proofErr w:type="spellEnd"/>
      <w:r>
        <w:t xml:space="preserve"> </w:t>
      </w:r>
      <w:proofErr w:type="spellStart"/>
      <w:r>
        <w:t>Eingangsempfindlichkeit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</w:t>
      </w:r>
      <w:r w:rsidR="005D4955">
        <w:t>4 </w:t>
      </w:r>
      <w:proofErr w:type="spellStart"/>
      <w:r>
        <w:t>dBu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symmetrischen</w:t>
      </w:r>
      <w:proofErr w:type="spellEnd"/>
      <w:r>
        <w:t xml:space="preserve"> Line-</w:t>
      </w:r>
      <w:proofErr w:type="spellStart"/>
      <w:r>
        <w:t>Pegel</w:t>
      </w:r>
      <w:proofErr w:type="spellEnd"/>
      <w:r>
        <w:t>-</w:t>
      </w:r>
      <w:proofErr w:type="spellStart"/>
      <w:r>
        <w:t>Eingängen</w:t>
      </w:r>
      <w:proofErr w:type="spellEnd"/>
      <w:r>
        <w:t xml:space="preserve"> (3-poliger Euroblock-Anschluss). An der </w:t>
      </w:r>
      <w:proofErr w:type="spellStart"/>
      <w:r>
        <w:t>Frontseite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neun</w:t>
      </w:r>
      <w:proofErr w:type="spellEnd"/>
      <w:r>
        <w:t xml:space="preserve"> LEDs </w:t>
      </w:r>
      <w:proofErr w:type="spellStart"/>
      <w:r>
        <w:t>angebracht</w:t>
      </w:r>
      <w:proofErr w:type="spellEnd"/>
      <w:r>
        <w:t xml:space="preserve">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Leuchte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Betriebsanzeige</w:t>
      </w:r>
      <w:proofErr w:type="spellEnd"/>
      <w:r>
        <w:t xml:space="preserve"> (</w:t>
      </w:r>
      <w:proofErr w:type="spellStart"/>
      <w:r>
        <w:t>weiß</w:t>
      </w:r>
      <w:proofErr w:type="spellEnd"/>
      <w:r>
        <w:t xml:space="preserve">),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Anzeige</w:t>
      </w:r>
      <w:proofErr w:type="spellEnd"/>
      <w:r>
        <w:t xml:space="preserve"> des Standby-Modus (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blinkend</w:t>
      </w:r>
      <w:proofErr w:type="spellEnd"/>
      <w:r>
        <w:t xml:space="preserve">),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Fehlererkennung</w:t>
      </w:r>
      <w:proofErr w:type="spellEnd"/>
      <w:r>
        <w:t xml:space="preserve"> (rot)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Erkennung</w:t>
      </w:r>
      <w:proofErr w:type="spellEnd"/>
      <w:r>
        <w:t xml:space="preserve"> von </w:t>
      </w:r>
      <w:proofErr w:type="spellStart"/>
      <w:r>
        <w:t>thermischen</w:t>
      </w:r>
      <w:proofErr w:type="spellEnd"/>
      <w:r>
        <w:t xml:space="preserve"> </w:t>
      </w:r>
      <w:proofErr w:type="spellStart"/>
      <w:r>
        <w:t>Fehlern</w:t>
      </w:r>
      <w:proofErr w:type="spellEnd"/>
      <w:r>
        <w:t xml:space="preserve"> (rot </w:t>
      </w:r>
      <w:proofErr w:type="spellStart"/>
      <w:r>
        <w:t>blinkend</w:t>
      </w:r>
      <w:proofErr w:type="spellEnd"/>
      <w:r>
        <w:t>)</w:t>
      </w:r>
      <w:r>
        <w:t>; p</w:t>
      </w:r>
      <w:r>
        <w:t xml:space="preserve">ro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zeigen</w:t>
      </w:r>
      <w:proofErr w:type="spellEnd"/>
      <w:r>
        <w:t xml:space="preserve"> </w:t>
      </w:r>
      <w:proofErr w:type="spellStart"/>
      <w:r>
        <w:t>mehrfarbige</w:t>
      </w:r>
      <w:proofErr w:type="spellEnd"/>
      <w:r>
        <w:t xml:space="preserve"> LEDs das </w:t>
      </w:r>
      <w:proofErr w:type="spellStart"/>
      <w:r>
        <w:t>Vorhandensein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Eingangssignals</w:t>
      </w:r>
      <w:proofErr w:type="spellEnd"/>
      <w:r>
        <w:t xml:space="preserve"> (</w:t>
      </w:r>
      <w:proofErr w:type="spellStart"/>
      <w:r>
        <w:t>grün</w:t>
      </w:r>
      <w:proofErr w:type="spellEnd"/>
      <w:r>
        <w:t xml:space="preserve">),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Überschreiten</w:t>
      </w:r>
      <w:proofErr w:type="spellEnd"/>
      <w:r>
        <w:t xml:space="preserve"> des </w:t>
      </w:r>
      <w:proofErr w:type="spellStart"/>
      <w:r>
        <w:t>Eingangspegels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bis </w:t>
      </w:r>
      <w:r w:rsidR="005D4955">
        <w:t>3 </w:t>
      </w:r>
      <w:r>
        <w:t>dB (</w:t>
      </w:r>
      <w:proofErr w:type="spellStart"/>
      <w:r>
        <w:t>gelb</w:t>
      </w:r>
      <w:proofErr w:type="spellEnd"/>
      <w:r>
        <w:t xml:space="preserve">)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Überschreiten</w:t>
      </w:r>
      <w:proofErr w:type="spellEnd"/>
      <w:r>
        <w:t xml:space="preserve"> des </w:t>
      </w:r>
      <w:proofErr w:type="spellStart"/>
      <w:r>
        <w:t>Eingangspegels</w:t>
      </w:r>
      <w:proofErr w:type="spellEnd"/>
      <w:r>
        <w:t xml:space="preserve"> (rot) an</w:t>
      </w:r>
      <w:r>
        <w:t xml:space="preserve">; </w:t>
      </w:r>
      <w:proofErr w:type="spellStart"/>
      <w:r>
        <w:t>e</w:t>
      </w:r>
      <w:r>
        <w:t>ine</w:t>
      </w:r>
      <w:proofErr w:type="spellEnd"/>
      <w:r>
        <w:t xml:space="preserve"> </w:t>
      </w:r>
      <w:proofErr w:type="spellStart"/>
      <w:r>
        <w:t>Limiteranzeige</w:t>
      </w:r>
      <w:proofErr w:type="spellEnd"/>
      <w:r>
        <w:t xml:space="preserve"> pro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signalisiert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der Limiter am </w:t>
      </w:r>
      <w:proofErr w:type="spellStart"/>
      <w:r>
        <w:t>Ausgang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(</w:t>
      </w:r>
      <w:proofErr w:type="spellStart"/>
      <w:r>
        <w:t>gelb</w:t>
      </w:r>
      <w:proofErr w:type="spellEnd"/>
      <w:r>
        <w:t xml:space="preserve">),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Fehlererkennung</w:t>
      </w:r>
      <w:proofErr w:type="spellEnd"/>
      <w:r>
        <w:t xml:space="preserve"> (rot) und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Ausgänge</w:t>
      </w:r>
      <w:proofErr w:type="spellEnd"/>
      <w:r>
        <w:t xml:space="preserve"> </w:t>
      </w:r>
      <w:proofErr w:type="spellStart"/>
      <w:r>
        <w:t>stummgeschaltet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(rot </w:t>
      </w:r>
      <w:proofErr w:type="spellStart"/>
      <w:r>
        <w:t>blinkend</w:t>
      </w:r>
      <w:proofErr w:type="spellEnd"/>
      <w:r>
        <w:t xml:space="preserve">). Die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Signalverarbeitung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 es dem </w:t>
      </w:r>
      <w:proofErr w:type="spellStart"/>
      <w:r>
        <w:t>Anwender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unterstützten</w:t>
      </w:r>
      <w:proofErr w:type="spellEnd"/>
      <w:r>
        <w:t xml:space="preserve"> Bose</w:t>
      </w:r>
      <w:r>
        <w:t xml:space="preserve"> Professional</w:t>
      </w:r>
      <w:r>
        <w:t xml:space="preserve"> </w:t>
      </w:r>
      <w:proofErr w:type="spellStart"/>
      <w:r>
        <w:t>Lautsprechern</w:t>
      </w:r>
      <w:proofErr w:type="spellEnd"/>
      <w:r>
        <w:t xml:space="preserve"> je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Voreinstellungen</w:t>
      </w:r>
      <w:proofErr w:type="spellEnd"/>
      <w:r>
        <w:t xml:space="preserve"> für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Lautsprecherequalisierung</w:t>
      </w:r>
      <w:proofErr w:type="spellEnd"/>
      <w:r>
        <w:t xml:space="preserve"> </w:t>
      </w:r>
      <w:proofErr w:type="spellStart"/>
      <w:r>
        <w:t>festzulegen</w:t>
      </w:r>
      <w:proofErr w:type="spellEnd"/>
      <w:r>
        <w:t>.</w:t>
      </w:r>
      <w:r>
        <w:t xml:space="preserve"> </w:t>
      </w:r>
      <w:r>
        <w:t xml:space="preserve">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Fernbedienung</w:t>
      </w:r>
      <w:proofErr w:type="spellEnd"/>
      <w:r>
        <w:t xml:space="preserve"> (RJ-45, ControlCenter), die für die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ControlCenter CC-1, CC-2 und CC-3 Zone Controller und dem CV41 4-auf-1 </w:t>
      </w:r>
      <w:proofErr w:type="spellStart"/>
      <w:r>
        <w:t>Verteiler</w:t>
      </w:r>
      <w:proofErr w:type="spellEnd"/>
      <w:r>
        <w:t xml:space="preserve"> </w:t>
      </w:r>
      <w:proofErr w:type="spellStart"/>
      <w:r>
        <w:t>vorgesehen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 die </w:t>
      </w:r>
      <w:proofErr w:type="spellStart"/>
      <w:r>
        <w:t>Stummschaltung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Ausgänge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potentialfreien</w:t>
      </w:r>
      <w:proofErr w:type="spellEnd"/>
      <w:r>
        <w:t xml:space="preserve"> </w:t>
      </w:r>
      <w:proofErr w:type="spellStart"/>
      <w:r>
        <w:t>Öffner-oder</w:t>
      </w:r>
      <w:proofErr w:type="spellEnd"/>
      <w:r>
        <w:t xml:space="preserve"> </w:t>
      </w:r>
      <w:proofErr w:type="spellStart"/>
      <w:r>
        <w:t>Schließerkontakt</w:t>
      </w:r>
      <w:proofErr w:type="spellEnd"/>
      <w:r>
        <w:t>.</w:t>
      </w:r>
    </w:p>
    <w:p w14:paraId="44C633A9" w14:textId="75D113AD" w:rsidR="00B44CA6" w:rsidRDefault="00B44CA6" w:rsidP="00B44CA6">
      <w:r>
        <w:t xml:space="preserve">Das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lackiertem</w:t>
      </w:r>
      <w:proofErr w:type="spellEnd"/>
      <w:r>
        <w:t xml:space="preserve"> Stahl.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normgerechten</w:t>
      </w:r>
      <w:proofErr w:type="spellEnd"/>
      <w:r>
        <w:t xml:space="preserve"> EIA-Racks </w:t>
      </w:r>
      <w:proofErr w:type="spellStart"/>
      <w:r>
        <w:t>mit</w:t>
      </w:r>
      <w:proofErr w:type="spellEnd"/>
      <w:r>
        <w:t xml:space="preserve"> 48</w:t>
      </w:r>
      <w:r w:rsidR="005D4955">
        <w:t>3 </w:t>
      </w:r>
      <w:r>
        <w:t xml:space="preserve">mm </w:t>
      </w:r>
      <w:proofErr w:type="spellStart"/>
      <w:r>
        <w:t>Breite</w:t>
      </w:r>
      <w:proofErr w:type="spellEnd"/>
      <w:r>
        <w:t xml:space="preserve"> (</w:t>
      </w:r>
      <w:proofErr w:type="spellStart"/>
      <w:r>
        <w:t>entspricht</w:t>
      </w:r>
      <w:proofErr w:type="spellEnd"/>
      <w:r>
        <w:t xml:space="preserve"> 1</w:t>
      </w:r>
      <w:r w:rsidR="005D4955">
        <w:t>9 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kompatibel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4</w:t>
      </w:r>
      <w:r w:rsidR="005D4955">
        <w:t>4 </w:t>
      </w:r>
      <w:r>
        <w:t>mm (1,</w:t>
      </w:r>
      <w:r w:rsidR="005D4955">
        <w:t>7 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hoch</w:t>
      </w:r>
      <w:proofErr w:type="spellEnd"/>
      <w:r>
        <w:t>, 48</w:t>
      </w:r>
      <w:r w:rsidR="005D4955">
        <w:t>3 </w:t>
      </w:r>
      <w:r>
        <w:t>mm (19</w:t>
      </w:r>
      <w:r>
        <w:t>,</w:t>
      </w:r>
      <w:r w:rsidR="005D4955">
        <w:t>0 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breit</w:t>
      </w:r>
      <w:proofErr w:type="spellEnd"/>
      <w:r>
        <w:t xml:space="preserve"> und 42</w:t>
      </w:r>
      <w:r w:rsidR="005D4955">
        <w:t>0 </w:t>
      </w:r>
      <w:r>
        <w:t>mm (16,</w:t>
      </w:r>
      <w:r w:rsidR="005D4955">
        <w:t>5 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tief</w:t>
      </w:r>
      <w:proofErr w:type="spellEnd"/>
      <w:r>
        <w:t xml:space="preserve">. Das </w:t>
      </w:r>
      <w:proofErr w:type="spellStart"/>
      <w:r>
        <w:t>Gewicht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6,</w:t>
      </w:r>
      <w:r w:rsidR="005D4955">
        <w:t>6 </w:t>
      </w:r>
      <w:r>
        <w:t>kg.</w:t>
      </w:r>
    </w:p>
    <w:p w14:paraId="03181146" w14:textId="4E6A0EFB" w:rsidR="00B44CA6" w:rsidRDefault="00B44CA6" w:rsidP="00B44CA6">
      <w:r>
        <w:lastRenderedPageBreak/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UL/</w:t>
      </w:r>
      <w:proofErr w:type="spellStart"/>
      <w:r>
        <w:t>cUL-gelistet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UL60065 (8. </w:t>
      </w:r>
      <w:proofErr w:type="spellStart"/>
      <w:r>
        <w:t>Ausgabe</w:t>
      </w:r>
      <w:proofErr w:type="spellEnd"/>
      <w:r>
        <w:t>), UL62368</w:t>
      </w:r>
      <w:r w:rsidR="005D4955">
        <w:t>-</w:t>
      </w:r>
      <w:r>
        <w:t xml:space="preserve">1, CAN/CSA C22.2 No. 60065-16 und CAN/CSA C22.2 No 62368-1-14.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die CE-</w:t>
      </w:r>
      <w:proofErr w:type="spellStart"/>
      <w:r>
        <w:t>Anforderungen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EN62368-1:2014 und </w:t>
      </w:r>
      <w:proofErr w:type="spellStart"/>
      <w:r>
        <w:t>ist</w:t>
      </w:r>
      <w:proofErr w:type="spellEnd"/>
      <w:r>
        <w:t xml:space="preserve"> CB-</w:t>
      </w:r>
      <w:proofErr w:type="spellStart"/>
      <w:r>
        <w:t>zertifiziert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IEC60065:2014 und IEC62368-1:2014, Gruppen- und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Unterschiede</w:t>
      </w:r>
      <w:proofErr w:type="spellEnd"/>
      <w:r>
        <w:t xml:space="preserve"> </w:t>
      </w:r>
      <w:proofErr w:type="spellStart"/>
      <w:r>
        <w:t>eingeschlossen</w:t>
      </w:r>
      <w:proofErr w:type="spellEnd"/>
      <w:r>
        <w:t xml:space="preserve">. Dieses Modell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zudem</w:t>
      </w:r>
      <w:proofErr w:type="spellEnd"/>
      <w:r>
        <w:t xml:space="preserve"> die </w:t>
      </w:r>
      <w:proofErr w:type="spellStart"/>
      <w:r>
        <w:t>Anforderungen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FCC Teil 15B </w:t>
      </w:r>
      <w:proofErr w:type="spellStart"/>
      <w:r>
        <w:t>Klasse</w:t>
      </w:r>
      <w:proofErr w:type="spellEnd"/>
      <w:r>
        <w:t xml:space="preserve"> A, ICES-003 </w:t>
      </w:r>
      <w:proofErr w:type="spellStart"/>
      <w:r>
        <w:t>Klasse</w:t>
      </w:r>
      <w:proofErr w:type="spellEnd"/>
      <w:r>
        <w:t xml:space="preserve"> A, EN55032:2012, EN55035, CISPR 13: </w:t>
      </w:r>
      <w:proofErr w:type="spellStart"/>
      <w:r>
        <w:t>Ausgabe</w:t>
      </w:r>
      <w:proofErr w:type="spellEnd"/>
      <w:r>
        <w:t xml:space="preserve"> 5.0 (2009-06).</w:t>
      </w:r>
    </w:p>
    <w:p w14:paraId="00EEC9FB" w14:textId="77777777" w:rsidR="00B44CA6" w:rsidRDefault="00B44CA6" w:rsidP="00B44CA6">
      <w:r>
        <w:t xml:space="preserve">Die </w:t>
      </w:r>
      <w:proofErr w:type="spellStart"/>
      <w:r>
        <w:t>Garantiezeit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Jahre.</w:t>
      </w:r>
    </w:p>
    <w:p w14:paraId="461D0B38" w14:textId="6BFECF7F" w:rsidR="00B44CA6" w:rsidRDefault="00B44CA6" w:rsidP="00B44CA6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</w:t>
      </w:r>
      <w:proofErr w:type="spellStart"/>
      <w:r>
        <w:t>vielseitige</w:t>
      </w:r>
      <w:proofErr w:type="spellEnd"/>
      <w:r>
        <w:t xml:space="preserve"> PowerSpace P4300+ </w:t>
      </w:r>
      <w:proofErr w:type="spellStart"/>
      <w:r>
        <w:t>Leistungsverstärker</w:t>
      </w:r>
      <w:proofErr w:type="spellEnd"/>
      <w:r>
        <w:t xml:space="preserve"> sein.</w:t>
      </w:r>
    </w:p>
    <w:p w14:paraId="59FD91CD" w14:textId="77777777" w:rsidR="00A10ECD" w:rsidRPr="00B44CA6" w:rsidRDefault="00A10ECD" w:rsidP="00B44CA6"/>
    <w:sectPr w:rsidR="00A10ECD" w:rsidRPr="00B4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8530" w14:textId="77777777" w:rsidR="00CA49EE" w:rsidRDefault="00CA49EE" w:rsidP="00583198">
      <w:pPr>
        <w:spacing w:after="0" w:line="240" w:lineRule="auto"/>
      </w:pPr>
      <w:r>
        <w:separator/>
      </w:r>
    </w:p>
  </w:endnote>
  <w:endnote w:type="continuationSeparator" w:id="0">
    <w:p w14:paraId="434C3562" w14:textId="77777777" w:rsidR="00CA49EE" w:rsidRDefault="00CA49EE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3F02" w14:textId="77777777" w:rsidR="00CA49EE" w:rsidRDefault="00CA49EE" w:rsidP="00583198">
      <w:pPr>
        <w:spacing w:after="0" w:line="240" w:lineRule="auto"/>
      </w:pPr>
      <w:r>
        <w:separator/>
      </w:r>
    </w:p>
  </w:footnote>
  <w:footnote w:type="continuationSeparator" w:id="0">
    <w:p w14:paraId="34E1AB46" w14:textId="77777777" w:rsidR="00CA49EE" w:rsidRDefault="00CA49EE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E"/>
    <w:rsid w:val="000D2578"/>
    <w:rsid w:val="00163785"/>
    <w:rsid w:val="0016728B"/>
    <w:rsid w:val="001C47E5"/>
    <w:rsid w:val="002F6FB4"/>
    <w:rsid w:val="00325C5E"/>
    <w:rsid w:val="00583198"/>
    <w:rsid w:val="005D4955"/>
    <w:rsid w:val="00614DEA"/>
    <w:rsid w:val="006F3B1F"/>
    <w:rsid w:val="009F5F19"/>
    <w:rsid w:val="00A00148"/>
    <w:rsid w:val="00A10ECD"/>
    <w:rsid w:val="00A37915"/>
    <w:rsid w:val="00AB5905"/>
    <w:rsid w:val="00B44CA6"/>
    <w:rsid w:val="00B510A9"/>
    <w:rsid w:val="00BE0325"/>
    <w:rsid w:val="00CA49EE"/>
    <w:rsid w:val="00DE7B25"/>
    <w:rsid w:val="00F31948"/>
    <w:rsid w:val="00F709F0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4725"/>
  <w15:chartTrackingRefBased/>
  <w15:docId w15:val="{64D8DB9B-0717-4951-B940-38A16DE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</TotalTime>
  <Pages>2</Pages>
  <Words>465</Words>
  <Characters>3181</Characters>
  <DocSecurity>0</DocSecurity>
  <Lines>50</Lines>
  <Paragraphs>9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2023-07-24T21:20:00Z</dcterms:created>
  <dcterms:modified xsi:type="dcterms:W3CDTF">2023-07-24T21:23:00Z</dcterms:modified>
</cp:coreProperties>
</file>