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Foram recentemente criadas duas novas SKU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(EM90 e EM180).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Entre as várias melhorias incorporadas nestas SKU, a fixação e a aleta foram alteradas de plástico PC/ABS para o novo PC-PBT e alumínio fundido, que é mais resistente à exposição ao óleo de cozinha.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Embora recomendados como mecanismo secundário de fixação em todas as instalações, os cabos de segurança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já não são necessários nas </w:t>
      </w:r>
      <w:r>
        <w:rPr>
          <w:sz w:val="22"/>
          <w:szCs w:val="22"/>
          <w:rStyle w:val="normaltextrun"/>
          <w:u w:val="single"/>
          <w:b/>
          <w:bCs/>
          <w:rFonts w:ascii="Calibri" w:hAnsi="Calibri"/>
        </w:rPr>
        <w:t xml:space="preserve">novas SKU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, exceto onde obrigatório conforme as regulamentações ou códigos locais</w:t>
      </w:r>
      <w:r>
        <w:rPr>
          <w:sz w:val="22"/>
          <w:szCs w:val="22"/>
          <w:rStyle w:val="normaltextrun"/>
          <w:rFonts w:ascii="Calibri" w:hAnsi="Calibri"/>
        </w:rPr>
        <w:t xml:space="preserve"> e, portanto, não são fornecidos nas novas SKU.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Os cabos de segurança continuam, porém, a ser necessários para as SKU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anteriores e para todas as SKU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instaladas em ambientes de restauração comercial.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4F9B9DEE-B0C0-413A-9E57-6AF9F7682D51}"/>
</file>

<file path=customXml/itemProps2.xml><?xml version="1.0" encoding="utf-8"?>
<ds:datastoreItem xmlns:ds="http://schemas.openxmlformats.org/officeDocument/2006/customXml" ds:itemID="{C7FDFA08-6BB7-4657-9136-D3F7801AC050}"/>
</file>

<file path=customXml/itemProps3.xml><?xml version="1.0" encoding="utf-8"?>
<ds:datastoreItem xmlns:ds="http://schemas.openxmlformats.org/officeDocument/2006/customXml" ds:itemID="{7804201F-1BE2-4629-9C36-46AB34005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