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5E4B" w14:textId="70B548C0" w:rsidR="00F838D1" w:rsidRPr="00274694" w:rsidRDefault="00F838D1" w:rsidP="00F838D1">
      <w:pPr>
        <w:shd w:val="clear" w:color="auto" w:fill="FFFFFF"/>
        <w:spacing w:before="100" w:beforeAutospacing="1" w:after="100" w:afterAutospacing="1" w:line="360" w:lineRule="atLeast"/>
        <w:rPr>
          <w:b/>
          <w:bCs/>
          <w:sz w:val="24"/>
          <w:szCs w:val="24"/>
          <w:rFonts w:eastAsia="Times New Roman" w:cs="Arial"/>
        </w:rPr>
      </w:pPr>
      <w:r>
        <w:rPr>
          <w:sz w:val="24"/>
          <w:b/>
        </w:rPr>
        <w:t xml:space="preserve">Enceinte à montage en surface DesignMax DM12SE</w:t>
      </w:r>
    </w:p>
    <w:p w14:paraId="654C4C4B" w14:textId="14A6BE5E" w:rsidR="00F838D1" w:rsidRPr="00274694" w:rsidRDefault="00F838D1" w:rsidP="00F838D1">
      <w:pPr>
        <w:rPr>
          <w:sz w:val="24"/>
          <w:szCs w:val="24"/>
          <w:rFonts w:cs="Arial"/>
        </w:rPr>
      </w:pPr>
      <w:r>
        <w:rPr>
          <w:sz w:val="24"/>
        </w:rPr>
        <w:t xml:space="preserve">SPÉCIFICATIONS TECHNIQUES À L’ATTENTION DES ARCHITECTES ET INGÉNIEURS</w:t>
      </w:r>
    </w:p>
    <w:p w14:paraId="3B17CC90" w14:textId="47636C3C" w:rsidR="00F838D1" w:rsidRPr="00274694" w:rsidRDefault="001F73E2" w:rsidP="00F838D1">
      <w:pPr>
        <w:rPr>
          <w:sz w:val="24"/>
          <w:szCs w:val="24"/>
          <w:rFonts w:cs="Arial"/>
        </w:rPr>
      </w:pPr>
      <w:r>
        <w:rPr>
          <w:sz w:val="24"/>
        </w:rPr>
        <w:t xml:space="preserve">MARS 2026</w:t>
      </w:r>
    </w:p>
    <w:p w14:paraId="01AE21D8" w14:textId="58B20E46" w:rsidR="009817CB" w:rsidRPr="00274694" w:rsidRDefault="009817CB" w:rsidP="009817CB">
      <w:pPr>
        <w:rPr>
          <w:sz w:val="24"/>
          <w:szCs w:val="24"/>
          <w:rFonts w:eastAsia="Times New Roman" w:cs="Arial"/>
        </w:rPr>
      </w:pPr>
      <w:r>
        <w:rPr>
          <w:sz w:val="24"/>
        </w:rPr>
        <w:t xml:space="preserve">L’enceinte deux voies intégrera un boomer de 12" monté de façon coaxiale et un moteur à compression central de 1,4".</w:t>
      </w:r>
    </w:p>
    <w:p w14:paraId="1CFB4154" w14:textId="13FB349F" w:rsidR="00ED124C" w:rsidRPr="00274694" w:rsidRDefault="009966AB" w:rsidP="00F838D1">
      <w:pPr>
        <w:rPr>
          <w:color w:val="000000" w:themeColor="text1"/>
          <w:sz w:val="24"/>
          <w:szCs w:val="24"/>
          <w:rFonts w:eastAsia="Times New Roman" w:cs="Arial"/>
        </w:rPr>
      </w:pPr>
      <w:r>
        <w:rPr>
          <w:sz w:val="24"/>
          <w:color w:val="000000" w:themeColor="text1"/>
        </w:rPr>
        <w:t xml:space="preserve">L’enceinte sera conforme aux spécifications de performances suivantes :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La réponse en fréquence dans l’axe s’étendra de 38 Hz à 20 kHz (-10 dB) avec les paramètres d’égalisation active recommandés.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La sensibilité de l’enceinte sera de 94 dB SPL pour 1 W à 1 m dans un environnement en champ libre, avec la protection passe-haut recommandée.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La puissance admissible à long terme sera de 300 W (méthodologie de test AES avec bruit système IEC, durée de 2 heures).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Le niveau de sortie maximal en continu sera de 119 dB SPL et le niveau de sortie maximal en crête sera de 125 dB SPL.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Le profil de couverture nominal sera de 102° conique entre 500 Hz et 8 kHz.</w:t>
      </w:r>
    </w:p>
    <w:p w14:paraId="0495BA7A" w14:textId="6D29A307" w:rsidR="00977006" w:rsidRPr="00274694" w:rsidRDefault="00F838D1" w:rsidP="00F838D1">
      <w:pPr>
        <w:rPr>
          <w:color w:val="000000" w:themeColor="text1"/>
          <w:sz w:val="24"/>
          <w:szCs w:val="24"/>
          <w:rFonts w:eastAsia="Times New Roman" w:cs="Arial"/>
        </w:rPr>
      </w:pPr>
      <w:r>
        <w:rPr>
          <w:sz w:val="24"/>
          <w:color w:val="000000" w:themeColor="text1"/>
        </w:rPr>
        <w:t xml:space="preserve">Le coffret de l’enceinte sera fabriqué en </w:t>
      </w:r>
      <w:r>
        <w:rPr>
          <w:sz w:val="24"/>
        </w:rPr>
        <w:t xml:space="preserve">plastique industriel résistant aux UV</w:t>
      </w:r>
      <w:r>
        <w:rPr>
          <w:sz w:val="24"/>
          <w:color w:val="000000" w:themeColor="text1"/>
        </w:rPr>
        <w:t xml:space="preserve">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L’enceinte utilisera un matériau plastique de type PC-ABS, résistant à l’exposition aux huiles de cuisson.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L’enceinte sera certifiée ETL et cETL conformément aux normes UL 1480A et CSA 22.2 n° 205-17.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Les transducteurs seront protégés par une grille perforée en aluminium, de finition peinte thermolaquée, avec une fixation magnétique de conception inviolable.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L’enceinte sera équipée d’un système de montage avec un support bi-pivot.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L’enceinte sera compatible avec une utilisation en extérieur, grâce à une certification IP55.</w:t>
      </w:r>
      <w:r>
        <w:rPr>
          <w:sz w:val="24"/>
          <w:color w:val="000000" w:themeColor="text1"/>
        </w:rPr>
        <w:t xml:space="preserve"> </w:t>
      </w:r>
      <w:r>
        <w:rPr>
          <w:sz w:val="24"/>
        </w:rPr>
        <w:t xml:space="preserve">L’enceinte sera disponible en finition noire ou blanche (prête à peindre).</w:t>
      </w:r>
      <w:r>
        <w:rPr>
          <w:sz w:val="24"/>
        </w:rPr>
        <w:t xml:space="preserve"> </w:t>
      </w:r>
      <w:r>
        <w:rPr>
          <w:sz w:val="24"/>
          <w:color w:val="000000" w:themeColor="text1"/>
        </w:rPr>
        <w:t xml:space="preserve">Les connecteurs d’entrée seront de type Euroblock à 4 points.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L’enceinte aura une impédance nominale de 8 ohms.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Les dimensions de l’enceinte seront de </w:t>
      </w:r>
      <w:r>
        <w:rPr>
          <w:sz w:val="24"/>
        </w:rPr>
        <w:t xml:space="preserve">485 × 407 × 406 mm (19,1 × 16,0 × 16,0 po) </w:t>
      </w:r>
      <w:r>
        <w:rPr>
          <w:sz w:val="24"/>
          <w:color w:val="000000" w:themeColor="text1"/>
        </w:rPr>
        <w:t xml:space="preserve">et son poids net sera de 16,9 kg (37,4 lb).</w:t>
      </w:r>
    </w:p>
    <w:p w14:paraId="43A6B6A5" w14:textId="3D2B596C" w:rsidR="001956A0" w:rsidRPr="00274694" w:rsidRDefault="006131C8" w:rsidP="00F838D1">
      <w:pPr>
        <w:rPr>
          <w:color w:val="000000" w:themeColor="text1"/>
          <w:sz w:val="24"/>
          <w:szCs w:val="24"/>
          <w:rFonts w:eastAsia="Times New Roman" w:cs="Arial"/>
        </w:rPr>
      </w:pPr>
      <w:r>
        <w:rPr>
          <w:sz w:val="24"/>
          <w:color w:val="000000" w:themeColor="text1"/>
        </w:rPr>
        <w:t xml:space="preserve">La garantie sera de 5 ans.</w:t>
      </w:r>
      <w:r>
        <w:rPr>
          <w:sz w:val="24"/>
          <w:color w:val="000000" w:themeColor="text1"/>
        </w:rPr>
        <w:t xml:space="preserve"> </w:t>
      </w:r>
    </w:p>
    <w:p w14:paraId="57518BDE" w14:textId="2DFC2EA2" w:rsidR="00182923" w:rsidRPr="001630A9" w:rsidRDefault="00F838D1" w:rsidP="00F838D1">
      <w:pPr>
        <w:rPr>
          <w:color w:val="000000" w:themeColor="text1"/>
          <w:sz w:val="24"/>
          <w:szCs w:val="24"/>
          <w:rFonts w:cs="Arial"/>
        </w:rPr>
      </w:pPr>
      <w:r>
        <w:rPr>
          <w:sz w:val="24"/>
          <w:color w:val="000000" w:themeColor="text1"/>
        </w:rPr>
        <w:t xml:space="preserve">L’enceinte sera l’</w:t>
      </w:r>
      <w:r>
        <w:rPr>
          <w:sz w:val="24"/>
        </w:rPr>
        <w:t xml:space="preserve">enceinte à montage en surface DesignMax DM12SE.</w:t>
      </w:r>
    </w:p>
    <w:p w14:paraId="3CA299E9" w14:textId="77777777" w:rsidR="00E2513F" w:rsidRPr="001630A9" w:rsidRDefault="00E2513F">
      <w:pPr>
        <w:rPr>
          <w:rFonts w:cs="Arial"/>
          <w:sz w:val="24"/>
          <w:szCs w:val="24"/>
        </w:rPr>
      </w:pPr>
    </w:p>
    <w:sectPr w:rsidR="00E2513F" w:rsidRPr="001630A9" w:rsidSect="00C46F7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C80D" w14:textId="77777777" w:rsidR="00754BD9" w:rsidRDefault="00754BD9" w:rsidP="00B261DD">
      <w:pPr>
        <w:spacing w:after="0" w:line="240" w:lineRule="auto"/>
      </w:pPr>
      <w:r>
        <w:separator/>
      </w:r>
    </w:p>
  </w:endnote>
  <w:endnote w:type="continuationSeparator" w:id="0">
    <w:p w14:paraId="5A81F7B5" w14:textId="77777777" w:rsidR="00754BD9" w:rsidRDefault="00754BD9" w:rsidP="00B2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1152" w14:textId="77777777" w:rsidR="00754BD9" w:rsidRDefault="00754BD9" w:rsidP="00B261DD">
      <w:pPr>
        <w:spacing w:after="0" w:line="240" w:lineRule="auto"/>
      </w:pPr>
      <w:r>
        <w:separator/>
      </w:r>
    </w:p>
  </w:footnote>
  <w:footnote w:type="continuationSeparator" w:id="0">
    <w:p w14:paraId="14290048" w14:textId="77777777" w:rsidR="00754BD9" w:rsidRDefault="00754BD9" w:rsidP="00B26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dirty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D1"/>
    <w:rsid w:val="0001336C"/>
    <w:rsid w:val="0003206D"/>
    <w:rsid w:val="00044EF4"/>
    <w:rsid w:val="00073070"/>
    <w:rsid w:val="0007660F"/>
    <w:rsid w:val="000911B4"/>
    <w:rsid w:val="000B264A"/>
    <w:rsid w:val="000B5FEC"/>
    <w:rsid w:val="000E6840"/>
    <w:rsid w:val="000F4F7E"/>
    <w:rsid w:val="0015452F"/>
    <w:rsid w:val="00154F4B"/>
    <w:rsid w:val="001630A9"/>
    <w:rsid w:val="00182923"/>
    <w:rsid w:val="00190E41"/>
    <w:rsid w:val="001956A0"/>
    <w:rsid w:val="001A22C5"/>
    <w:rsid w:val="001F73E2"/>
    <w:rsid w:val="00202B59"/>
    <w:rsid w:val="00204944"/>
    <w:rsid w:val="002074A0"/>
    <w:rsid w:val="0023307C"/>
    <w:rsid w:val="0025256F"/>
    <w:rsid w:val="00274694"/>
    <w:rsid w:val="00324AF9"/>
    <w:rsid w:val="0033573B"/>
    <w:rsid w:val="00336371"/>
    <w:rsid w:val="00351896"/>
    <w:rsid w:val="0035473F"/>
    <w:rsid w:val="0036358F"/>
    <w:rsid w:val="00440AAD"/>
    <w:rsid w:val="0044327C"/>
    <w:rsid w:val="0045240A"/>
    <w:rsid w:val="00484EB6"/>
    <w:rsid w:val="004D05A1"/>
    <w:rsid w:val="00501597"/>
    <w:rsid w:val="005325BA"/>
    <w:rsid w:val="00535602"/>
    <w:rsid w:val="00553BA3"/>
    <w:rsid w:val="00583494"/>
    <w:rsid w:val="005D2E49"/>
    <w:rsid w:val="00602D09"/>
    <w:rsid w:val="00603777"/>
    <w:rsid w:val="006131C8"/>
    <w:rsid w:val="0062072D"/>
    <w:rsid w:val="00633936"/>
    <w:rsid w:val="00633D4E"/>
    <w:rsid w:val="006638D4"/>
    <w:rsid w:val="00684958"/>
    <w:rsid w:val="00695207"/>
    <w:rsid w:val="006A7DEE"/>
    <w:rsid w:val="006B0DC1"/>
    <w:rsid w:val="006C228D"/>
    <w:rsid w:val="007005DD"/>
    <w:rsid w:val="00726C43"/>
    <w:rsid w:val="00754BD9"/>
    <w:rsid w:val="00774CDE"/>
    <w:rsid w:val="007A6F35"/>
    <w:rsid w:val="007E571F"/>
    <w:rsid w:val="0087037E"/>
    <w:rsid w:val="008A3533"/>
    <w:rsid w:val="008C023E"/>
    <w:rsid w:val="008C24FA"/>
    <w:rsid w:val="008D7011"/>
    <w:rsid w:val="008F1EA8"/>
    <w:rsid w:val="00901F03"/>
    <w:rsid w:val="00916671"/>
    <w:rsid w:val="0093164E"/>
    <w:rsid w:val="00932597"/>
    <w:rsid w:val="00977006"/>
    <w:rsid w:val="0097703A"/>
    <w:rsid w:val="009817CB"/>
    <w:rsid w:val="009862E9"/>
    <w:rsid w:val="00995A9C"/>
    <w:rsid w:val="00995F25"/>
    <w:rsid w:val="009966AB"/>
    <w:rsid w:val="009A10E1"/>
    <w:rsid w:val="009D251A"/>
    <w:rsid w:val="009D5B0C"/>
    <w:rsid w:val="00A43012"/>
    <w:rsid w:val="00AB7667"/>
    <w:rsid w:val="00AC5BA3"/>
    <w:rsid w:val="00B16A68"/>
    <w:rsid w:val="00B261DD"/>
    <w:rsid w:val="00B47753"/>
    <w:rsid w:val="00B50AD5"/>
    <w:rsid w:val="00B56342"/>
    <w:rsid w:val="00B64615"/>
    <w:rsid w:val="00BB7249"/>
    <w:rsid w:val="00BC1AB2"/>
    <w:rsid w:val="00C00E74"/>
    <w:rsid w:val="00C049F8"/>
    <w:rsid w:val="00C3157D"/>
    <w:rsid w:val="00C34625"/>
    <w:rsid w:val="00C46F74"/>
    <w:rsid w:val="00C538AC"/>
    <w:rsid w:val="00C7757A"/>
    <w:rsid w:val="00C84E82"/>
    <w:rsid w:val="00CA6076"/>
    <w:rsid w:val="00CC3F90"/>
    <w:rsid w:val="00CD19B6"/>
    <w:rsid w:val="00CE50FD"/>
    <w:rsid w:val="00D60D71"/>
    <w:rsid w:val="00D8239C"/>
    <w:rsid w:val="00D93BBA"/>
    <w:rsid w:val="00D96152"/>
    <w:rsid w:val="00DA4121"/>
    <w:rsid w:val="00DD44B2"/>
    <w:rsid w:val="00DF0F02"/>
    <w:rsid w:val="00E2513F"/>
    <w:rsid w:val="00E56582"/>
    <w:rsid w:val="00EB733C"/>
    <w:rsid w:val="00EC01F2"/>
    <w:rsid w:val="00ED124C"/>
    <w:rsid w:val="00ED3F60"/>
    <w:rsid w:val="00EE6500"/>
    <w:rsid w:val="00EF68EE"/>
    <w:rsid w:val="00F31E8C"/>
    <w:rsid w:val="00F3731C"/>
    <w:rsid w:val="00F37C06"/>
    <w:rsid w:val="00F705D6"/>
    <w:rsid w:val="00F838D1"/>
    <w:rsid w:val="00FB1532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8D1F8"/>
  <w15:chartTrackingRefBased/>
  <w15:docId w15:val="{39697ECB-C568-44F1-8321-62A53CCA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E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3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B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FEC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0B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FE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04905E0416B47B885533BEA01CA4B" ma:contentTypeVersion="8" ma:contentTypeDescription="Create a new document." ma:contentTypeScope="" ma:versionID="59cced3b61dec0a0fbc157310c62e6bd">
  <xsd:schema xmlns:xsd="http://www.w3.org/2001/XMLSchema" xmlns:xs="http://www.w3.org/2001/XMLSchema" xmlns:p="http://schemas.microsoft.com/office/2006/metadata/properties" xmlns:ns2="72038326-38d4-481d-9cfd-c80081df3672" targetNamespace="http://schemas.microsoft.com/office/2006/metadata/properties" ma:root="true" ma:fieldsID="f907ebb50bdb4547d7fec63eb1ab6eae" ns2:_="">
    <xsd:import namespace="72038326-38d4-481d-9cfd-c80081df3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8326-38d4-481d-9cfd-c80081df3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9EF9C-E057-4C08-9278-0622A5F2F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8326-38d4-481d-9cfd-c80081df3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565C2-1087-4060-B820-D67C13C0B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FA535-F0C5-464B-9B59-FF8CE71FB8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284</Words>
  <Characters>1555</Characters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2023-07-06T16:54:00Z</dcterms:created>
  <dcterms:modified xsi:type="dcterms:W3CDTF">2026-03-10T13:44:00Z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0x010100A9E04905E0416B47B885533BEA01CA4B</vt:lpwstr>
  </property>
</Properties>
</file>